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CB" w:rsidRDefault="006773CB" w:rsidP="006773CB">
      <w:pPr>
        <w:pStyle w:val="a3"/>
        <w:rPr>
          <w:sz w:val="34"/>
        </w:rPr>
      </w:pPr>
      <w:r>
        <w:rPr>
          <w:noProof/>
        </w:rPr>
        <w:drawing>
          <wp:inline distT="0" distB="0" distL="0" distR="0">
            <wp:extent cx="491490" cy="619125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3CB" w:rsidRDefault="006773CB" w:rsidP="006773CB">
      <w:pPr>
        <w:pStyle w:val="a3"/>
        <w:rPr>
          <w:sz w:val="34"/>
        </w:rPr>
      </w:pPr>
    </w:p>
    <w:p w:rsidR="006773CB" w:rsidRDefault="006773CB" w:rsidP="006773CB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</w:t>
      </w:r>
    </w:p>
    <w:p w:rsidR="006773CB" w:rsidRDefault="006773CB" w:rsidP="006773CB">
      <w:pPr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МИХАЙЛОВСКОГО РАЙОНА</w:t>
      </w:r>
    </w:p>
    <w:p w:rsidR="006773CB" w:rsidRPr="006A3008" w:rsidRDefault="006773CB" w:rsidP="006773CB">
      <w:pPr>
        <w:jc w:val="center"/>
        <w:rPr>
          <w:b/>
          <w:bCs/>
          <w:szCs w:val="28"/>
        </w:rPr>
      </w:pPr>
      <w:proofErr w:type="gramStart"/>
      <w:r w:rsidRPr="006A3008">
        <w:rPr>
          <w:b/>
          <w:bCs/>
          <w:szCs w:val="28"/>
        </w:rPr>
        <w:t>Р</w:t>
      </w:r>
      <w:proofErr w:type="gramEnd"/>
      <w:r w:rsidRPr="006A3008">
        <w:rPr>
          <w:b/>
          <w:bCs/>
          <w:szCs w:val="28"/>
        </w:rPr>
        <w:t xml:space="preserve"> Е Ш Е Н И Е</w:t>
      </w:r>
    </w:p>
    <w:p w:rsidR="006773CB" w:rsidRPr="006773CB" w:rsidRDefault="006A3008" w:rsidP="006773CB">
      <w:pPr>
        <w:rPr>
          <w:szCs w:val="28"/>
        </w:rPr>
      </w:pPr>
      <w:r>
        <w:rPr>
          <w:szCs w:val="28"/>
        </w:rPr>
        <w:t>от 02.03.2015</w:t>
      </w:r>
      <w:r w:rsidR="006773CB" w:rsidRPr="006773CB">
        <w:rPr>
          <w:szCs w:val="28"/>
        </w:rPr>
        <w:tab/>
      </w:r>
      <w:r w:rsidR="006773CB" w:rsidRPr="006773CB">
        <w:rPr>
          <w:szCs w:val="28"/>
        </w:rPr>
        <w:tab/>
      </w:r>
      <w:r w:rsidR="006773CB" w:rsidRPr="006773CB">
        <w:rPr>
          <w:szCs w:val="28"/>
        </w:rPr>
        <w:tab/>
      </w:r>
      <w:r w:rsidR="006773CB" w:rsidRPr="006A3008">
        <w:rPr>
          <w:b/>
          <w:szCs w:val="28"/>
        </w:rPr>
        <w:t xml:space="preserve">   с. Михайловка</w:t>
      </w:r>
      <w:r w:rsidR="006773CB" w:rsidRPr="006A3008">
        <w:rPr>
          <w:b/>
          <w:szCs w:val="28"/>
        </w:rPr>
        <w:tab/>
      </w:r>
      <w:r w:rsidR="006773CB" w:rsidRPr="006773CB">
        <w:rPr>
          <w:szCs w:val="28"/>
        </w:rPr>
        <w:t xml:space="preserve">                  </w:t>
      </w:r>
      <w:r w:rsidR="006773CB" w:rsidRPr="006773CB">
        <w:rPr>
          <w:szCs w:val="28"/>
        </w:rPr>
        <w:tab/>
      </w:r>
      <w:r w:rsidR="006773CB" w:rsidRPr="006773CB">
        <w:rPr>
          <w:szCs w:val="28"/>
        </w:rPr>
        <w:tab/>
        <w:t>438/86</w:t>
      </w:r>
    </w:p>
    <w:p w:rsidR="006773CB" w:rsidRPr="006A3008" w:rsidRDefault="006773CB" w:rsidP="006773CB">
      <w:pPr>
        <w:spacing w:after="0" w:line="240" w:lineRule="auto"/>
        <w:rPr>
          <w:szCs w:val="28"/>
        </w:rPr>
      </w:pPr>
      <w:r w:rsidRPr="006A3008">
        <w:rPr>
          <w:szCs w:val="28"/>
        </w:rPr>
        <w:t xml:space="preserve">Об установлении объема биографических </w:t>
      </w:r>
      <w:r w:rsidRPr="006A3008">
        <w:rPr>
          <w:szCs w:val="28"/>
        </w:rPr>
        <w:br/>
        <w:t xml:space="preserve">данных кандидатов, сведений о доходах и  </w:t>
      </w:r>
    </w:p>
    <w:p w:rsidR="006773CB" w:rsidRPr="006A3008" w:rsidRDefault="006773CB" w:rsidP="006773CB">
      <w:pPr>
        <w:spacing w:after="0" w:line="240" w:lineRule="auto"/>
        <w:rPr>
          <w:szCs w:val="28"/>
        </w:rPr>
      </w:pPr>
      <w:r w:rsidRPr="006A3008">
        <w:rPr>
          <w:szCs w:val="28"/>
        </w:rPr>
        <w:t xml:space="preserve">об имуществе кандидатов, размещаемых </w:t>
      </w:r>
    </w:p>
    <w:p w:rsidR="006773CB" w:rsidRPr="006A3008" w:rsidRDefault="006773CB" w:rsidP="006773CB">
      <w:pPr>
        <w:spacing w:after="0" w:line="240" w:lineRule="auto"/>
        <w:rPr>
          <w:szCs w:val="28"/>
        </w:rPr>
      </w:pPr>
      <w:r w:rsidRPr="006A3008">
        <w:rPr>
          <w:szCs w:val="28"/>
        </w:rPr>
        <w:t xml:space="preserve">участковой избирательной комиссией </w:t>
      </w:r>
      <w:proofErr w:type="gramStart"/>
      <w:r w:rsidRPr="006A3008">
        <w:rPr>
          <w:szCs w:val="28"/>
        </w:rPr>
        <w:t>на</w:t>
      </w:r>
      <w:proofErr w:type="gramEnd"/>
      <w:r w:rsidRPr="006A3008">
        <w:rPr>
          <w:szCs w:val="28"/>
        </w:rPr>
        <w:t xml:space="preserve"> </w:t>
      </w:r>
    </w:p>
    <w:p w:rsidR="006773CB" w:rsidRPr="006A3008" w:rsidRDefault="006773CB" w:rsidP="006773CB">
      <w:pPr>
        <w:spacing w:after="0" w:line="240" w:lineRule="auto"/>
        <w:rPr>
          <w:szCs w:val="28"/>
        </w:rPr>
      </w:pPr>
      <w:r w:rsidRPr="006A3008">
        <w:rPr>
          <w:szCs w:val="28"/>
        </w:rPr>
        <w:t xml:space="preserve">информационном </w:t>
      </w:r>
      <w:proofErr w:type="gramStart"/>
      <w:r w:rsidRPr="006A3008">
        <w:rPr>
          <w:szCs w:val="28"/>
        </w:rPr>
        <w:t>стенде</w:t>
      </w:r>
      <w:proofErr w:type="gramEnd"/>
      <w:r w:rsidRPr="006A3008">
        <w:rPr>
          <w:szCs w:val="28"/>
        </w:rPr>
        <w:t xml:space="preserve"> в помещении для </w:t>
      </w:r>
      <w:r w:rsidRPr="006A3008">
        <w:rPr>
          <w:szCs w:val="28"/>
        </w:rPr>
        <w:br/>
        <w:t xml:space="preserve">голосования либо непосредственно перед </w:t>
      </w:r>
      <w:r w:rsidRPr="006A3008">
        <w:rPr>
          <w:szCs w:val="28"/>
        </w:rPr>
        <w:br/>
        <w:t xml:space="preserve">указанным помещением при проведении </w:t>
      </w:r>
      <w:r w:rsidRPr="006A3008">
        <w:rPr>
          <w:szCs w:val="28"/>
        </w:rPr>
        <w:br/>
        <w:t xml:space="preserve">досрочных выборов главы </w:t>
      </w:r>
      <w:proofErr w:type="spellStart"/>
      <w:r w:rsidRPr="006A3008">
        <w:rPr>
          <w:szCs w:val="28"/>
        </w:rPr>
        <w:t>Новошахтинского</w:t>
      </w:r>
      <w:proofErr w:type="spellEnd"/>
    </w:p>
    <w:p w:rsidR="006773CB" w:rsidRPr="006A3008" w:rsidRDefault="006773CB" w:rsidP="006773CB">
      <w:pPr>
        <w:spacing w:after="0" w:line="240" w:lineRule="auto"/>
        <w:rPr>
          <w:szCs w:val="28"/>
        </w:rPr>
      </w:pPr>
      <w:r w:rsidRPr="006A3008">
        <w:rPr>
          <w:szCs w:val="28"/>
        </w:rPr>
        <w:t>городского поселения Михайловского</w:t>
      </w:r>
    </w:p>
    <w:p w:rsidR="006773CB" w:rsidRPr="006A3008" w:rsidRDefault="006773CB" w:rsidP="006773CB">
      <w:pPr>
        <w:spacing w:after="0" w:line="240" w:lineRule="auto"/>
        <w:rPr>
          <w:szCs w:val="28"/>
        </w:rPr>
      </w:pPr>
      <w:r w:rsidRPr="006A3008">
        <w:rPr>
          <w:szCs w:val="28"/>
        </w:rPr>
        <w:t>муниципального района Приморского края,</w:t>
      </w:r>
    </w:p>
    <w:p w:rsidR="006773CB" w:rsidRPr="006A3008" w:rsidRDefault="006773CB" w:rsidP="006773CB">
      <w:pPr>
        <w:spacing w:after="0" w:line="240" w:lineRule="auto"/>
        <w:rPr>
          <w:szCs w:val="28"/>
        </w:rPr>
      </w:pPr>
      <w:r w:rsidRPr="006A3008">
        <w:rPr>
          <w:szCs w:val="28"/>
        </w:rPr>
        <w:t xml:space="preserve"> </w:t>
      </w:r>
      <w:proofErr w:type="gramStart"/>
      <w:r w:rsidRPr="006A3008">
        <w:rPr>
          <w:szCs w:val="28"/>
        </w:rPr>
        <w:t>назначенных</w:t>
      </w:r>
      <w:proofErr w:type="gramEnd"/>
      <w:r w:rsidRPr="006A3008">
        <w:rPr>
          <w:szCs w:val="28"/>
        </w:rPr>
        <w:t xml:space="preserve"> на 17 мая 2015 года</w:t>
      </w:r>
    </w:p>
    <w:p w:rsidR="006773CB" w:rsidRPr="006A3008" w:rsidRDefault="006773CB" w:rsidP="006773CB">
      <w:pPr>
        <w:spacing w:after="0" w:line="240" w:lineRule="auto"/>
        <w:rPr>
          <w:szCs w:val="28"/>
        </w:rPr>
      </w:pPr>
    </w:p>
    <w:p w:rsidR="006773CB" w:rsidRPr="006A3008" w:rsidRDefault="006773CB" w:rsidP="006773CB">
      <w:pPr>
        <w:pStyle w:val="-1"/>
        <w:rPr>
          <w:szCs w:val="28"/>
        </w:rPr>
      </w:pPr>
      <w:r w:rsidRPr="006A3008">
        <w:rPr>
          <w:szCs w:val="28"/>
        </w:rPr>
        <w:t>В соответствии с пунктом 7 статьи 33 Федерального закона «Об основных гарантиях избирательных прав и права на участие в референдуме граждан Российской Федерации», частью 9 статьи 39 Избирательного кодекса Приморского края</w:t>
      </w:r>
      <w:r w:rsidR="006A3008">
        <w:rPr>
          <w:szCs w:val="28"/>
        </w:rPr>
        <w:t>,</w:t>
      </w:r>
      <w:r w:rsidRPr="006A3008">
        <w:rPr>
          <w:szCs w:val="28"/>
        </w:rPr>
        <w:t xml:space="preserve">  территориальная избирательная комиссия Михайловского района</w:t>
      </w:r>
    </w:p>
    <w:p w:rsidR="006773CB" w:rsidRPr="006A3008" w:rsidRDefault="006773CB" w:rsidP="006773CB">
      <w:pPr>
        <w:pStyle w:val="-1"/>
        <w:spacing w:before="120" w:after="120"/>
        <w:rPr>
          <w:spacing w:val="60"/>
          <w:szCs w:val="28"/>
        </w:rPr>
      </w:pPr>
      <w:r w:rsidRPr="006A3008">
        <w:rPr>
          <w:spacing w:val="60"/>
          <w:szCs w:val="28"/>
        </w:rPr>
        <w:t>РЕШИЛА</w:t>
      </w:r>
      <w:r w:rsidRPr="006A3008">
        <w:rPr>
          <w:szCs w:val="28"/>
        </w:rPr>
        <w:t>:</w:t>
      </w:r>
    </w:p>
    <w:p w:rsidR="006773CB" w:rsidRPr="006A3008" w:rsidRDefault="006773CB" w:rsidP="006773CB">
      <w:pPr>
        <w:spacing w:after="0" w:line="360" w:lineRule="auto"/>
        <w:ind w:firstLine="720"/>
        <w:jc w:val="both"/>
        <w:rPr>
          <w:szCs w:val="28"/>
        </w:rPr>
      </w:pPr>
      <w:r w:rsidRPr="006A3008">
        <w:rPr>
          <w:szCs w:val="28"/>
        </w:rPr>
        <w:t xml:space="preserve">1. Установить объем биографических данных кандидатов, сведений о доходах и об имуществе кандидатов, размещаемых участковой избирательной комиссией на информационном стенде в помещении для голосования либо непосредственно перед указанным помещением при проведении  досрочных выборов главы </w:t>
      </w:r>
      <w:proofErr w:type="spellStart"/>
      <w:r w:rsidRPr="006A3008">
        <w:rPr>
          <w:szCs w:val="28"/>
        </w:rPr>
        <w:t>Новошахтинского</w:t>
      </w:r>
      <w:proofErr w:type="spellEnd"/>
      <w:r w:rsidRPr="006A3008">
        <w:rPr>
          <w:szCs w:val="28"/>
        </w:rPr>
        <w:t xml:space="preserve"> городского поселения Михайловского муниципального района Приморского края, назначенных на 17 мая 2015 года (Приложения № 1, 2).</w:t>
      </w:r>
    </w:p>
    <w:p w:rsidR="006773CB" w:rsidRPr="006A3008" w:rsidRDefault="006773CB" w:rsidP="006773CB">
      <w:pPr>
        <w:spacing w:after="0" w:line="360" w:lineRule="auto"/>
        <w:jc w:val="both"/>
        <w:rPr>
          <w:rFonts w:eastAsia="Times New Roman"/>
          <w:szCs w:val="28"/>
          <w:lang w:eastAsia="ru-RU"/>
        </w:rPr>
      </w:pPr>
      <w:r w:rsidRPr="006A3008">
        <w:rPr>
          <w:rFonts w:eastAsia="Times New Roman"/>
          <w:szCs w:val="28"/>
          <w:lang w:eastAsia="ru-RU"/>
        </w:rPr>
        <w:lastRenderedPageBreak/>
        <w:t xml:space="preserve">          3. </w:t>
      </w:r>
      <w:proofErr w:type="gramStart"/>
      <w:r w:rsidRPr="006A3008">
        <w:rPr>
          <w:rFonts w:eastAsia="Times New Roman"/>
          <w:szCs w:val="28"/>
          <w:lang w:eastAsia="ru-RU"/>
        </w:rPr>
        <w:t>Разместить</w:t>
      </w:r>
      <w:proofErr w:type="gramEnd"/>
      <w:r w:rsidRPr="006A3008">
        <w:rPr>
          <w:rFonts w:eastAsia="Times New Roman"/>
          <w:szCs w:val="28"/>
          <w:lang w:eastAsia="ru-RU"/>
        </w:rPr>
        <w:t xml:space="preserve"> настоящее решение на сайте территориальной избирательной комиссии Михайловского района в информационно-телекоммуникационной сети  Интернет.</w:t>
      </w:r>
    </w:p>
    <w:p w:rsidR="006A3008" w:rsidRPr="006A3008" w:rsidRDefault="006773CB" w:rsidP="006A3008">
      <w:pPr>
        <w:spacing w:after="0" w:line="360" w:lineRule="auto"/>
        <w:jc w:val="both"/>
        <w:rPr>
          <w:rFonts w:eastAsia="Times New Roman"/>
          <w:szCs w:val="28"/>
          <w:lang w:eastAsia="ru-RU"/>
        </w:rPr>
      </w:pPr>
      <w:r w:rsidRPr="006A3008">
        <w:rPr>
          <w:szCs w:val="28"/>
        </w:rPr>
        <w:t>4.Направить настоящее решение в Избирательную комиссию Приморского края для размещения на официальном сайте</w:t>
      </w:r>
      <w:r w:rsidR="006A3008" w:rsidRPr="006A3008">
        <w:rPr>
          <w:rFonts w:eastAsia="Times New Roman"/>
          <w:szCs w:val="28"/>
          <w:lang w:eastAsia="ru-RU"/>
        </w:rPr>
        <w:t xml:space="preserve"> в информационно-телекоммуникационной сети  </w:t>
      </w:r>
      <w:r w:rsidR="006A3008">
        <w:rPr>
          <w:rFonts w:eastAsia="Times New Roman"/>
          <w:szCs w:val="28"/>
          <w:lang w:eastAsia="ru-RU"/>
        </w:rPr>
        <w:t>«</w:t>
      </w:r>
      <w:r w:rsidR="006A3008" w:rsidRPr="006A3008">
        <w:rPr>
          <w:rFonts w:eastAsia="Times New Roman"/>
          <w:szCs w:val="28"/>
          <w:lang w:eastAsia="ru-RU"/>
        </w:rPr>
        <w:t>Интернет</w:t>
      </w:r>
      <w:r w:rsidR="006A3008">
        <w:rPr>
          <w:rFonts w:eastAsia="Times New Roman"/>
          <w:szCs w:val="28"/>
          <w:lang w:eastAsia="ru-RU"/>
        </w:rPr>
        <w:t>»</w:t>
      </w:r>
      <w:r w:rsidR="006A3008" w:rsidRPr="006A3008">
        <w:rPr>
          <w:rFonts w:eastAsia="Times New Roman"/>
          <w:szCs w:val="28"/>
          <w:lang w:eastAsia="ru-RU"/>
        </w:rPr>
        <w:t>.</w:t>
      </w:r>
    </w:p>
    <w:p w:rsidR="006773CB" w:rsidRPr="006A3008" w:rsidRDefault="006773CB" w:rsidP="006773CB">
      <w:pPr>
        <w:spacing w:line="360" w:lineRule="auto"/>
        <w:ind w:firstLine="708"/>
        <w:jc w:val="both"/>
        <w:rPr>
          <w:szCs w:val="28"/>
        </w:rPr>
      </w:pPr>
      <w:r w:rsidRPr="006A3008">
        <w:rPr>
          <w:szCs w:val="28"/>
        </w:rPr>
        <w:t xml:space="preserve">. </w:t>
      </w:r>
    </w:p>
    <w:p w:rsidR="006773CB" w:rsidRPr="006A3008" w:rsidRDefault="006773CB" w:rsidP="006773CB">
      <w:pPr>
        <w:spacing w:line="360" w:lineRule="auto"/>
        <w:ind w:firstLine="708"/>
        <w:jc w:val="both"/>
        <w:rPr>
          <w:szCs w:val="28"/>
        </w:rPr>
      </w:pPr>
    </w:p>
    <w:p w:rsidR="006773CB" w:rsidRPr="006A3008" w:rsidRDefault="006773CB" w:rsidP="006773C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2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3008">
        <w:rPr>
          <w:rFonts w:ascii="Times New Roman" w:hAnsi="Times New Roman" w:cs="Times New Roman"/>
          <w:b w:val="0"/>
          <w:bCs w:val="0"/>
          <w:sz w:val="28"/>
          <w:szCs w:val="28"/>
        </w:rPr>
        <w:t>Председатель комиссии</w:t>
      </w:r>
      <w:r w:rsidRPr="006A300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A3008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6A3008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Н.С. Горбачева</w:t>
      </w:r>
    </w:p>
    <w:p w:rsidR="006773CB" w:rsidRPr="006A3008" w:rsidRDefault="006773CB" w:rsidP="006773CB">
      <w:pPr>
        <w:rPr>
          <w:szCs w:val="28"/>
          <w:lang w:eastAsia="ru-RU"/>
        </w:rPr>
      </w:pPr>
    </w:p>
    <w:p w:rsidR="006773CB" w:rsidRPr="006A3008" w:rsidRDefault="006773CB" w:rsidP="006773CB">
      <w:pPr>
        <w:pStyle w:val="14-15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6765"/>
        </w:tabs>
        <w:spacing w:line="240" w:lineRule="auto"/>
        <w:ind w:left="0"/>
        <w:rPr>
          <w:bCs/>
          <w:szCs w:val="28"/>
        </w:rPr>
      </w:pPr>
      <w:r w:rsidRPr="006A3008">
        <w:rPr>
          <w:bCs/>
          <w:szCs w:val="28"/>
        </w:rPr>
        <w:t xml:space="preserve">Секретарь комиссии </w:t>
      </w:r>
      <w:r w:rsidRPr="006A3008">
        <w:rPr>
          <w:bCs/>
          <w:szCs w:val="28"/>
        </w:rPr>
        <w:tab/>
      </w:r>
      <w:r w:rsidRPr="006A3008">
        <w:rPr>
          <w:bCs/>
          <w:szCs w:val="28"/>
        </w:rPr>
        <w:tab/>
      </w:r>
      <w:r w:rsidRPr="006A3008">
        <w:rPr>
          <w:bCs/>
          <w:szCs w:val="28"/>
        </w:rPr>
        <w:tab/>
      </w:r>
      <w:r w:rsidRPr="006A3008">
        <w:rPr>
          <w:bCs/>
          <w:szCs w:val="28"/>
        </w:rPr>
        <w:tab/>
        <w:t xml:space="preserve">          Г.В. Никитина</w:t>
      </w:r>
    </w:p>
    <w:p w:rsidR="006773CB" w:rsidRPr="006A3008" w:rsidRDefault="006773CB" w:rsidP="006773CB">
      <w:pPr>
        <w:spacing w:line="360" w:lineRule="auto"/>
        <w:ind w:firstLine="709"/>
        <w:jc w:val="both"/>
        <w:rPr>
          <w:szCs w:val="28"/>
        </w:rPr>
      </w:pPr>
    </w:p>
    <w:p w:rsidR="006773CB" w:rsidRPr="006A3008" w:rsidRDefault="006773CB" w:rsidP="006773CB">
      <w:pPr>
        <w:widowControl w:val="0"/>
        <w:spacing w:after="0" w:line="360" w:lineRule="auto"/>
        <w:jc w:val="both"/>
        <w:rPr>
          <w:rFonts w:eastAsia="Times New Roman"/>
          <w:szCs w:val="28"/>
          <w:lang w:eastAsia="ru-RU"/>
        </w:rPr>
      </w:pPr>
    </w:p>
    <w:p w:rsidR="006773CB" w:rsidRPr="006A3008" w:rsidRDefault="006773CB" w:rsidP="006773CB">
      <w:pPr>
        <w:widowControl w:val="0"/>
        <w:spacing w:after="0" w:line="360" w:lineRule="auto"/>
        <w:jc w:val="both"/>
        <w:rPr>
          <w:rFonts w:eastAsia="Times New Roman"/>
          <w:szCs w:val="28"/>
          <w:lang w:eastAsia="ru-RU"/>
        </w:rPr>
      </w:pPr>
    </w:p>
    <w:p w:rsidR="006773CB" w:rsidRPr="006A3008" w:rsidRDefault="006773CB" w:rsidP="006773CB">
      <w:pPr>
        <w:widowControl w:val="0"/>
        <w:spacing w:after="0" w:line="360" w:lineRule="auto"/>
        <w:jc w:val="both"/>
        <w:rPr>
          <w:rFonts w:eastAsia="Times New Roman"/>
          <w:szCs w:val="28"/>
          <w:lang w:eastAsia="ru-RU"/>
        </w:rPr>
      </w:pPr>
    </w:p>
    <w:p w:rsidR="006773CB" w:rsidRPr="006A3008" w:rsidRDefault="006773CB" w:rsidP="006773CB">
      <w:pPr>
        <w:widowControl w:val="0"/>
        <w:spacing w:after="0" w:line="360" w:lineRule="auto"/>
        <w:jc w:val="both"/>
        <w:rPr>
          <w:rFonts w:eastAsia="Times New Roman"/>
          <w:szCs w:val="28"/>
          <w:lang w:eastAsia="ru-RU"/>
        </w:rPr>
      </w:pPr>
    </w:p>
    <w:p w:rsidR="006773CB" w:rsidRPr="006A3008" w:rsidRDefault="006773CB" w:rsidP="006773CB">
      <w:pPr>
        <w:widowControl w:val="0"/>
        <w:spacing w:after="0" w:line="360" w:lineRule="auto"/>
        <w:jc w:val="both"/>
        <w:rPr>
          <w:rFonts w:eastAsia="Times New Roman"/>
          <w:szCs w:val="28"/>
          <w:lang w:eastAsia="ru-RU"/>
        </w:rPr>
      </w:pPr>
    </w:p>
    <w:p w:rsidR="006773CB" w:rsidRPr="006A3008" w:rsidRDefault="006773CB" w:rsidP="006773CB">
      <w:pPr>
        <w:widowControl w:val="0"/>
        <w:spacing w:after="0" w:line="360" w:lineRule="auto"/>
        <w:jc w:val="both"/>
        <w:rPr>
          <w:rFonts w:eastAsia="Times New Roman"/>
          <w:szCs w:val="28"/>
          <w:lang w:eastAsia="ru-RU"/>
        </w:rPr>
      </w:pPr>
    </w:p>
    <w:p w:rsidR="006773CB" w:rsidRPr="006A3008" w:rsidRDefault="006773CB" w:rsidP="006773CB">
      <w:pPr>
        <w:widowControl w:val="0"/>
        <w:spacing w:after="0" w:line="360" w:lineRule="auto"/>
        <w:jc w:val="both"/>
        <w:rPr>
          <w:rFonts w:eastAsia="Times New Roman"/>
          <w:szCs w:val="28"/>
          <w:lang w:eastAsia="ru-RU"/>
        </w:rPr>
      </w:pPr>
    </w:p>
    <w:p w:rsidR="006773CB" w:rsidRPr="006A3008" w:rsidRDefault="006773CB" w:rsidP="006773CB">
      <w:pPr>
        <w:widowControl w:val="0"/>
        <w:spacing w:after="0" w:line="360" w:lineRule="auto"/>
        <w:jc w:val="both"/>
        <w:rPr>
          <w:rFonts w:eastAsia="Times New Roman"/>
          <w:szCs w:val="28"/>
          <w:lang w:eastAsia="ru-RU"/>
        </w:rPr>
      </w:pPr>
    </w:p>
    <w:p w:rsidR="006773CB" w:rsidRPr="006A3008" w:rsidRDefault="006773CB" w:rsidP="006773CB">
      <w:pPr>
        <w:widowControl w:val="0"/>
        <w:spacing w:after="0" w:line="360" w:lineRule="auto"/>
        <w:jc w:val="both"/>
        <w:rPr>
          <w:rFonts w:eastAsia="Times New Roman"/>
          <w:szCs w:val="28"/>
          <w:lang w:eastAsia="ru-RU"/>
        </w:rPr>
      </w:pPr>
    </w:p>
    <w:p w:rsidR="006773CB" w:rsidRPr="006A3008" w:rsidRDefault="006773CB" w:rsidP="006773CB">
      <w:pPr>
        <w:widowControl w:val="0"/>
        <w:spacing w:after="0" w:line="360" w:lineRule="auto"/>
        <w:jc w:val="both"/>
        <w:rPr>
          <w:rFonts w:eastAsia="Times New Roman"/>
          <w:szCs w:val="28"/>
          <w:lang w:eastAsia="ru-RU"/>
        </w:rPr>
      </w:pPr>
    </w:p>
    <w:p w:rsidR="006773CB" w:rsidRPr="006A3008" w:rsidRDefault="006773CB" w:rsidP="006773CB">
      <w:pPr>
        <w:widowControl w:val="0"/>
        <w:spacing w:after="0" w:line="360" w:lineRule="auto"/>
        <w:jc w:val="both"/>
        <w:rPr>
          <w:rFonts w:eastAsia="Times New Roman"/>
          <w:szCs w:val="28"/>
          <w:lang w:eastAsia="ru-RU"/>
        </w:rPr>
      </w:pPr>
    </w:p>
    <w:p w:rsidR="006773CB" w:rsidRPr="006A3008" w:rsidRDefault="006773CB" w:rsidP="006773CB">
      <w:pPr>
        <w:widowControl w:val="0"/>
        <w:spacing w:after="0" w:line="360" w:lineRule="auto"/>
        <w:jc w:val="both"/>
        <w:rPr>
          <w:rFonts w:eastAsia="Times New Roman"/>
          <w:szCs w:val="28"/>
          <w:lang w:eastAsia="ru-RU"/>
        </w:rPr>
      </w:pPr>
    </w:p>
    <w:p w:rsidR="006773CB" w:rsidRPr="006A3008" w:rsidRDefault="006773CB" w:rsidP="006773CB">
      <w:pPr>
        <w:widowControl w:val="0"/>
        <w:spacing w:after="0" w:line="360" w:lineRule="auto"/>
        <w:jc w:val="both"/>
        <w:rPr>
          <w:rFonts w:eastAsia="Times New Roman"/>
          <w:szCs w:val="28"/>
          <w:lang w:eastAsia="ru-RU"/>
        </w:rPr>
      </w:pPr>
    </w:p>
    <w:p w:rsidR="006773CB" w:rsidRPr="006A3008" w:rsidRDefault="006773CB" w:rsidP="006773CB">
      <w:pPr>
        <w:widowControl w:val="0"/>
        <w:spacing w:after="0" w:line="360" w:lineRule="auto"/>
        <w:jc w:val="both"/>
        <w:rPr>
          <w:rFonts w:eastAsia="Times New Roman"/>
          <w:szCs w:val="28"/>
          <w:lang w:eastAsia="ru-RU"/>
        </w:rPr>
      </w:pPr>
    </w:p>
    <w:p w:rsidR="006773CB" w:rsidRPr="006A3008" w:rsidRDefault="006773CB" w:rsidP="006773CB">
      <w:pPr>
        <w:widowControl w:val="0"/>
        <w:spacing w:after="0" w:line="360" w:lineRule="auto"/>
        <w:jc w:val="both"/>
        <w:rPr>
          <w:rFonts w:eastAsia="Times New Roman"/>
          <w:szCs w:val="28"/>
          <w:lang w:eastAsia="ru-RU"/>
        </w:rPr>
      </w:pPr>
    </w:p>
    <w:p w:rsidR="006773CB" w:rsidRPr="006A3008" w:rsidRDefault="006773CB" w:rsidP="006773CB">
      <w:pPr>
        <w:widowControl w:val="0"/>
        <w:spacing w:after="0" w:line="360" w:lineRule="auto"/>
        <w:jc w:val="both"/>
        <w:rPr>
          <w:rFonts w:eastAsia="Times New Roman"/>
          <w:szCs w:val="28"/>
          <w:lang w:eastAsia="ru-RU"/>
        </w:rPr>
      </w:pPr>
    </w:p>
    <w:p w:rsidR="006773CB" w:rsidRPr="006A3008" w:rsidRDefault="006773CB" w:rsidP="006773CB">
      <w:pPr>
        <w:widowControl w:val="0"/>
        <w:spacing w:after="0" w:line="360" w:lineRule="auto"/>
        <w:jc w:val="both"/>
        <w:rPr>
          <w:rFonts w:eastAsia="Times New Roman"/>
          <w:szCs w:val="28"/>
          <w:lang w:eastAsia="ru-RU"/>
        </w:rPr>
      </w:pPr>
    </w:p>
    <w:p w:rsidR="006773CB" w:rsidRPr="006A3008" w:rsidRDefault="006773CB" w:rsidP="006773CB">
      <w:pPr>
        <w:widowControl w:val="0"/>
        <w:spacing w:after="0" w:line="360" w:lineRule="auto"/>
        <w:jc w:val="both"/>
        <w:rPr>
          <w:rFonts w:eastAsia="Times New Roman"/>
          <w:szCs w:val="28"/>
          <w:lang w:eastAsia="ru-RU"/>
        </w:rPr>
      </w:pPr>
    </w:p>
    <w:p w:rsidR="006773CB" w:rsidRPr="006A3008" w:rsidRDefault="006773CB" w:rsidP="006773C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bookmarkStart w:id="0" w:name="_GoBack"/>
      <w:r w:rsidRPr="006A300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lastRenderedPageBreak/>
        <w:t xml:space="preserve">                                                                                                                      Приложение № 1</w:t>
      </w:r>
    </w:p>
    <w:p w:rsidR="006773CB" w:rsidRPr="006A3008" w:rsidRDefault="006773CB" w:rsidP="006773C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6A300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                                                                         к решению </w:t>
      </w:r>
      <w:proofErr w:type="gramStart"/>
      <w:r w:rsidRPr="006A300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территориальной</w:t>
      </w:r>
      <w:proofErr w:type="gramEnd"/>
      <w:r w:rsidRPr="006A300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</w:t>
      </w:r>
    </w:p>
    <w:p w:rsidR="006773CB" w:rsidRPr="006A3008" w:rsidRDefault="006773CB" w:rsidP="006773CB">
      <w:pPr>
        <w:pStyle w:val="1"/>
        <w:tabs>
          <w:tab w:val="left" w:pos="6178"/>
          <w:tab w:val="right" w:pos="9354"/>
        </w:tabs>
        <w:spacing w:before="0" w:after="0"/>
        <w:jc w:val="righ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6A300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ab/>
        <w:t xml:space="preserve">избирательной комиссии </w:t>
      </w:r>
    </w:p>
    <w:p w:rsidR="006773CB" w:rsidRPr="006A3008" w:rsidRDefault="006773CB" w:rsidP="006773CB">
      <w:pPr>
        <w:pStyle w:val="1"/>
        <w:tabs>
          <w:tab w:val="left" w:pos="6178"/>
          <w:tab w:val="right" w:pos="9354"/>
        </w:tabs>
        <w:spacing w:before="0" w:after="0"/>
        <w:jc w:val="righ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6A300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Михайловского района</w:t>
      </w:r>
    </w:p>
    <w:p w:rsidR="006773CB" w:rsidRPr="006A3008" w:rsidRDefault="006773CB" w:rsidP="006773C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6A300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                                                                                            от 02.03.2015 №438/86 </w:t>
      </w:r>
    </w:p>
    <w:p w:rsidR="006773CB" w:rsidRPr="006A3008" w:rsidRDefault="006773CB" w:rsidP="006773CB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6A3008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6773CB" w:rsidRPr="006A3008" w:rsidRDefault="006773CB" w:rsidP="006773CB">
      <w:pPr>
        <w:spacing w:after="0" w:line="240" w:lineRule="auto"/>
        <w:jc w:val="center"/>
        <w:rPr>
          <w:b/>
          <w:szCs w:val="28"/>
        </w:rPr>
      </w:pPr>
      <w:r w:rsidRPr="006A3008">
        <w:rPr>
          <w:b/>
          <w:szCs w:val="28"/>
        </w:rPr>
        <w:t>ОБЪЕМ</w:t>
      </w:r>
    </w:p>
    <w:p w:rsidR="006773CB" w:rsidRPr="006A3008" w:rsidRDefault="006773CB" w:rsidP="006773CB">
      <w:pPr>
        <w:spacing w:after="0" w:line="240" w:lineRule="auto"/>
        <w:jc w:val="center"/>
        <w:rPr>
          <w:b/>
          <w:szCs w:val="28"/>
        </w:rPr>
      </w:pPr>
      <w:r w:rsidRPr="006A3008">
        <w:rPr>
          <w:b/>
          <w:szCs w:val="28"/>
        </w:rPr>
        <w:t>биографических данных кандидатов, размещаемых участковой</w:t>
      </w:r>
    </w:p>
    <w:p w:rsidR="006773CB" w:rsidRPr="006A3008" w:rsidRDefault="006773CB" w:rsidP="006773CB">
      <w:pPr>
        <w:spacing w:after="0" w:line="240" w:lineRule="auto"/>
        <w:jc w:val="center"/>
        <w:rPr>
          <w:b/>
          <w:szCs w:val="28"/>
        </w:rPr>
      </w:pPr>
      <w:r w:rsidRPr="006A3008">
        <w:rPr>
          <w:b/>
          <w:szCs w:val="28"/>
        </w:rPr>
        <w:t>избирательной комиссией на информационном стенде в помещении</w:t>
      </w:r>
    </w:p>
    <w:p w:rsidR="006773CB" w:rsidRPr="006A3008" w:rsidRDefault="006773CB" w:rsidP="006773CB">
      <w:pPr>
        <w:spacing w:after="0" w:line="240" w:lineRule="auto"/>
        <w:jc w:val="center"/>
        <w:rPr>
          <w:b/>
          <w:szCs w:val="28"/>
        </w:rPr>
      </w:pPr>
      <w:r w:rsidRPr="006A3008">
        <w:rPr>
          <w:b/>
          <w:szCs w:val="28"/>
        </w:rPr>
        <w:t>для голосования либо непосредственно перед указанным помещением</w:t>
      </w:r>
    </w:p>
    <w:p w:rsidR="006773CB" w:rsidRPr="006A3008" w:rsidRDefault="006773CB" w:rsidP="006773CB">
      <w:pPr>
        <w:spacing w:after="0" w:line="240" w:lineRule="auto"/>
        <w:jc w:val="center"/>
        <w:rPr>
          <w:b/>
          <w:szCs w:val="28"/>
        </w:rPr>
      </w:pPr>
      <w:r w:rsidRPr="006A3008">
        <w:rPr>
          <w:b/>
          <w:szCs w:val="28"/>
        </w:rPr>
        <w:t xml:space="preserve">при проведении  досрочных выборов главы </w:t>
      </w:r>
      <w:proofErr w:type="spellStart"/>
      <w:r w:rsidRPr="006A3008">
        <w:rPr>
          <w:b/>
          <w:szCs w:val="28"/>
        </w:rPr>
        <w:t>Новошахтинского</w:t>
      </w:r>
      <w:proofErr w:type="spellEnd"/>
      <w:r w:rsidRPr="006A3008">
        <w:rPr>
          <w:b/>
          <w:szCs w:val="28"/>
        </w:rPr>
        <w:t xml:space="preserve"> городского поселения Михайловского муниципального  района Приморского края</w:t>
      </w:r>
    </w:p>
    <w:p w:rsidR="006773CB" w:rsidRPr="006A3008" w:rsidRDefault="006773CB" w:rsidP="006773CB">
      <w:pPr>
        <w:spacing w:after="0" w:line="240" w:lineRule="auto"/>
        <w:jc w:val="center"/>
        <w:rPr>
          <w:b/>
          <w:szCs w:val="28"/>
        </w:rPr>
      </w:pPr>
    </w:p>
    <w:p w:rsidR="006773CB" w:rsidRPr="006A3008" w:rsidRDefault="006773CB" w:rsidP="006773CB">
      <w:pPr>
        <w:spacing w:after="0" w:line="240" w:lineRule="auto"/>
        <w:ind w:firstLine="567"/>
        <w:jc w:val="both"/>
        <w:rPr>
          <w:szCs w:val="28"/>
        </w:rPr>
      </w:pPr>
      <w:r w:rsidRPr="006A3008">
        <w:rPr>
          <w:szCs w:val="28"/>
        </w:rPr>
        <w:t xml:space="preserve">На информационном стенде в помещении для голосования либо непосредственно перед указанным помещением при проведении досрочных выборов главы </w:t>
      </w:r>
      <w:proofErr w:type="spellStart"/>
      <w:r w:rsidRPr="006A3008">
        <w:rPr>
          <w:szCs w:val="28"/>
        </w:rPr>
        <w:t>Новошахтинского</w:t>
      </w:r>
      <w:proofErr w:type="spellEnd"/>
      <w:r w:rsidRPr="006A3008">
        <w:rPr>
          <w:szCs w:val="28"/>
        </w:rPr>
        <w:t xml:space="preserve"> городского поселения Михайловского муниципального района приморского края участковая избирательная комиссия размещает информационные материалы обо всех зарегистрированных кандидатах на должность главы  </w:t>
      </w:r>
      <w:proofErr w:type="spellStart"/>
      <w:r w:rsidRPr="006A3008">
        <w:rPr>
          <w:szCs w:val="28"/>
        </w:rPr>
        <w:t>Новошахтинского</w:t>
      </w:r>
      <w:proofErr w:type="spellEnd"/>
      <w:r w:rsidRPr="006A3008">
        <w:rPr>
          <w:szCs w:val="28"/>
        </w:rPr>
        <w:t xml:space="preserve"> городского поселения.</w:t>
      </w:r>
    </w:p>
    <w:p w:rsidR="006773CB" w:rsidRPr="006A3008" w:rsidRDefault="006773CB" w:rsidP="006773CB">
      <w:pPr>
        <w:spacing w:after="0" w:line="240" w:lineRule="auto"/>
        <w:ind w:firstLine="567"/>
        <w:jc w:val="both"/>
        <w:rPr>
          <w:szCs w:val="28"/>
        </w:rPr>
      </w:pPr>
      <w:r w:rsidRPr="006A3008">
        <w:rPr>
          <w:szCs w:val="28"/>
        </w:rPr>
        <w:t xml:space="preserve">Информационные материалы размещаются на плакате под общим заголовком «Кандидаты на должность главы </w:t>
      </w:r>
      <w:proofErr w:type="spellStart"/>
      <w:r w:rsidRPr="006A3008">
        <w:rPr>
          <w:szCs w:val="28"/>
        </w:rPr>
        <w:t>Новошахтинского</w:t>
      </w:r>
      <w:proofErr w:type="spellEnd"/>
      <w:r w:rsidRPr="006A3008">
        <w:rPr>
          <w:szCs w:val="28"/>
        </w:rPr>
        <w:t xml:space="preserve"> городского поселения Михайловского муниципального района Приморского края», который изготавливается территориальной  избирательной комиссией </w:t>
      </w:r>
      <w:r w:rsidR="00796C31" w:rsidRPr="006A3008">
        <w:rPr>
          <w:szCs w:val="28"/>
        </w:rPr>
        <w:t xml:space="preserve">Михайловского </w:t>
      </w:r>
      <w:r w:rsidRPr="006A3008">
        <w:rPr>
          <w:szCs w:val="28"/>
        </w:rPr>
        <w:t xml:space="preserve">района. </w:t>
      </w:r>
    </w:p>
    <w:p w:rsidR="006773CB" w:rsidRPr="006A3008" w:rsidRDefault="006773CB" w:rsidP="006773CB">
      <w:pPr>
        <w:spacing w:after="0" w:line="240" w:lineRule="auto"/>
        <w:ind w:firstLine="567"/>
        <w:jc w:val="both"/>
        <w:rPr>
          <w:szCs w:val="28"/>
        </w:rPr>
      </w:pPr>
      <w:r w:rsidRPr="006A3008">
        <w:rPr>
          <w:szCs w:val="28"/>
        </w:rPr>
        <w:t>Биографические сведения на плакате размещаются после фамилий кандидатов, расположенных в алфавитном порядке. Перед биографическими сведениями кандидатов размещаются их фотографии одинакового размера.</w:t>
      </w:r>
    </w:p>
    <w:p w:rsidR="006773CB" w:rsidRPr="006A3008" w:rsidRDefault="006773CB" w:rsidP="006773CB">
      <w:pPr>
        <w:spacing w:after="0" w:line="240" w:lineRule="auto"/>
        <w:ind w:firstLine="567"/>
        <w:jc w:val="both"/>
        <w:rPr>
          <w:szCs w:val="28"/>
        </w:rPr>
      </w:pPr>
      <w:r w:rsidRPr="006A3008">
        <w:rPr>
          <w:szCs w:val="28"/>
        </w:rPr>
        <w:t>В информационные материалы о кандидатах включаются следующие сведения:</w:t>
      </w:r>
    </w:p>
    <w:p w:rsidR="006773CB" w:rsidRPr="006A3008" w:rsidRDefault="006773CB" w:rsidP="006773CB">
      <w:pPr>
        <w:spacing w:line="240" w:lineRule="auto"/>
        <w:ind w:firstLine="567"/>
        <w:jc w:val="both"/>
        <w:rPr>
          <w:szCs w:val="28"/>
        </w:rPr>
      </w:pPr>
      <w:r w:rsidRPr="006A3008">
        <w:rPr>
          <w:szCs w:val="28"/>
        </w:rPr>
        <w:t>Фамилия, имя, отчество.</w:t>
      </w:r>
    </w:p>
    <w:p w:rsidR="006773CB" w:rsidRPr="006A3008" w:rsidRDefault="006773CB" w:rsidP="006773CB">
      <w:pPr>
        <w:numPr>
          <w:ilvl w:val="0"/>
          <w:numId w:val="1"/>
        </w:numPr>
        <w:spacing w:after="0" w:line="240" w:lineRule="auto"/>
        <w:jc w:val="both"/>
        <w:rPr>
          <w:szCs w:val="28"/>
        </w:rPr>
      </w:pPr>
      <w:r w:rsidRPr="006A3008">
        <w:rPr>
          <w:szCs w:val="28"/>
        </w:rPr>
        <w:t>Год рождения.</w:t>
      </w:r>
    </w:p>
    <w:p w:rsidR="006773CB" w:rsidRPr="006A3008" w:rsidRDefault="006773CB" w:rsidP="006773CB">
      <w:pPr>
        <w:spacing w:after="0" w:line="240" w:lineRule="auto"/>
        <w:ind w:firstLine="567"/>
        <w:jc w:val="both"/>
        <w:rPr>
          <w:szCs w:val="28"/>
        </w:rPr>
      </w:pPr>
      <w:r w:rsidRPr="006A3008">
        <w:rPr>
          <w:szCs w:val="28"/>
        </w:rPr>
        <w:t>2) Место жительства (наименование субъекта Российской Федерации, района, города, иного населенного пункта).</w:t>
      </w:r>
    </w:p>
    <w:p w:rsidR="006773CB" w:rsidRPr="006A3008" w:rsidRDefault="006773CB" w:rsidP="006773CB">
      <w:pPr>
        <w:spacing w:after="0" w:line="240" w:lineRule="auto"/>
        <w:ind w:firstLine="567"/>
        <w:jc w:val="both"/>
        <w:rPr>
          <w:szCs w:val="28"/>
        </w:rPr>
      </w:pPr>
      <w:r w:rsidRPr="006A3008">
        <w:rPr>
          <w:szCs w:val="28"/>
        </w:rPr>
        <w:t>3) Основное место работы или службы, занимаемая должность (в случае отсутствия основного места работы или службы – род занятий).</w:t>
      </w:r>
    </w:p>
    <w:p w:rsidR="006773CB" w:rsidRPr="006A3008" w:rsidRDefault="006773CB" w:rsidP="006773CB">
      <w:pPr>
        <w:spacing w:after="0" w:line="240" w:lineRule="auto"/>
        <w:ind w:firstLine="567"/>
        <w:jc w:val="both"/>
        <w:rPr>
          <w:szCs w:val="28"/>
        </w:rPr>
      </w:pPr>
      <w:r w:rsidRPr="006A3008">
        <w:rPr>
          <w:szCs w:val="28"/>
        </w:rPr>
        <w:t>4) Если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органа.</w:t>
      </w:r>
    </w:p>
    <w:p w:rsidR="006773CB" w:rsidRPr="006A3008" w:rsidRDefault="006773CB" w:rsidP="006773CB">
      <w:pPr>
        <w:spacing w:after="0" w:line="240" w:lineRule="auto"/>
        <w:ind w:firstLine="567"/>
        <w:jc w:val="both"/>
        <w:rPr>
          <w:szCs w:val="28"/>
        </w:rPr>
      </w:pPr>
      <w:r w:rsidRPr="006A3008">
        <w:rPr>
          <w:szCs w:val="28"/>
        </w:rPr>
        <w:t xml:space="preserve">5) Сведения о принадлежности кандидата к политической партии (иному общественному объединению) и его статусе в этой политической партии (этом общественном объединении) (если такие сведения указаны в заявлении о согласии </w:t>
      </w:r>
      <w:proofErr w:type="gramStart"/>
      <w:r w:rsidRPr="006A3008">
        <w:rPr>
          <w:szCs w:val="28"/>
        </w:rPr>
        <w:t>баллотироваться</w:t>
      </w:r>
      <w:proofErr w:type="gramEnd"/>
      <w:r w:rsidRPr="006A3008">
        <w:rPr>
          <w:szCs w:val="28"/>
        </w:rPr>
        <w:t>).</w:t>
      </w:r>
    </w:p>
    <w:p w:rsidR="006773CB" w:rsidRPr="006A3008" w:rsidRDefault="006773CB" w:rsidP="006773CB">
      <w:pPr>
        <w:tabs>
          <w:tab w:val="left" w:pos="567"/>
          <w:tab w:val="left" w:pos="1134"/>
        </w:tabs>
        <w:spacing w:after="0" w:line="240" w:lineRule="auto"/>
        <w:jc w:val="both"/>
        <w:rPr>
          <w:szCs w:val="28"/>
        </w:rPr>
      </w:pPr>
      <w:r w:rsidRPr="006A3008">
        <w:rPr>
          <w:szCs w:val="28"/>
        </w:rPr>
        <w:lastRenderedPageBreak/>
        <w:t xml:space="preserve">        6) Сведения о том, кем выдвинут кандидат (если кандидат выдвинут избирательным объединением – слова «выдвинут избирательным объединением» с указанием наименования, если кандидат сам выдвинул свою кандидатуру – слово «самовыдвижение»).</w:t>
      </w:r>
    </w:p>
    <w:p w:rsidR="006773CB" w:rsidRPr="006A3008" w:rsidRDefault="006773CB" w:rsidP="006773CB">
      <w:pPr>
        <w:spacing w:after="0" w:line="240" w:lineRule="auto"/>
        <w:ind w:firstLine="567"/>
        <w:jc w:val="both"/>
        <w:rPr>
          <w:szCs w:val="28"/>
        </w:rPr>
      </w:pPr>
      <w:r w:rsidRPr="006A3008">
        <w:rPr>
          <w:szCs w:val="28"/>
        </w:rPr>
        <w:t>7) Информация о судимости.</w:t>
      </w:r>
    </w:p>
    <w:p w:rsidR="006773CB" w:rsidRPr="006A3008" w:rsidRDefault="006773CB" w:rsidP="006773CB">
      <w:pPr>
        <w:spacing w:after="0" w:line="240" w:lineRule="auto"/>
        <w:ind w:firstLine="567"/>
        <w:jc w:val="both"/>
        <w:rPr>
          <w:szCs w:val="28"/>
        </w:rPr>
      </w:pPr>
      <w:r w:rsidRPr="006A3008">
        <w:rPr>
          <w:szCs w:val="28"/>
        </w:rPr>
        <w:t xml:space="preserve">8) В биографические данные кандидатов также включаются следующие предоставленные кандидатом и документально подтвержденные сведения: </w:t>
      </w:r>
    </w:p>
    <w:p w:rsidR="006773CB" w:rsidRPr="006A3008" w:rsidRDefault="006773CB" w:rsidP="006773CB">
      <w:pPr>
        <w:spacing w:after="0" w:line="240" w:lineRule="auto"/>
        <w:ind w:firstLine="567"/>
        <w:jc w:val="both"/>
        <w:rPr>
          <w:szCs w:val="28"/>
        </w:rPr>
      </w:pPr>
      <w:r w:rsidRPr="006A3008">
        <w:rPr>
          <w:szCs w:val="28"/>
        </w:rPr>
        <w:t>- сведения об ученой степени, ученых званиях (подтвержденных дипломом ВАК, свидетельством Минобразования России), наличии государственных наград,</w:t>
      </w:r>
    </w:p>
    <w:p w:rsidR="006773CB" w:rsidRPr="006A3008" w:rsidRDefault="006773CB" w:rsidP="006773CB">
      <w:pPr>
        <w:spacing w:after="0" w:line="240" w:lineRule="auto"/>
        <w:ind w:firstLine="567"/>
        <w:jc w:val="both"/>
        <w:rPr>
          <w:szCs w:val="28"/>
        </w:rPr>
      </w:pPr>
      <w:r w:rsidRPr="006A3008">
        <w:rPr>
          <w:szCs w:val="28"/>
        </w:rPr>
        <w:t>- сведения о семейном положении, наличии детей.</w:t>
      </w:r>
    </w:p>
    <w:p w:rsidR="006773CB" w:rsidRPr="006A3008" w:rsidRDefault="00796C31" w:rsidP="006773CB">
      <w:pPr>
        <w:spacing w:after="0" w:line="240" w:lineRule="auto"/>
        <w:ind w:firstLine="567"/>
        <w:jc w:val="both"/>
        <w:rPr>
          <w:szCs w:val="28"/>
        </w:rPr>
      </w:pPr>
      <w:proofErr w:type="gramStart"/>
      <w:r w:rsidRPr="006A3008">
        <w:rPr>
          <w:szCs w:val="28"/>
        </w:rPr>
        <w:t>9) Сведения о доходах за 2014</w:t>
      </w:r>
      <w:r w:rsidR="006773CB" w:rsidRPr="006A3008">
        <w:rPr>
          <w:szCs w:val="28"/>
        </w:rPr>
        <w:t xml:space="preserve"> год и об имуществе кандидата, принадлежащем ему на праве собственности (в том числе совместной собственности), о денежных средствах, находящихся на счетах в банках, акциях и ином участии в коммерческих организациях, иных ценных бумагах (приложение №2 к настоящему решению), а также имеющаяся информация о фактах недостоверности представленных кандидатом сведений.</w:t>
      </w:r>
      <w:proofErr w:type="gramEnd"/>
    </w:p>
    <w:p w:rsidR="006773CB" w:rsidRPr="006773CB" w:rsidRDefault="006773CB" w:rsidP="006773CB">
      <w:pPr>
        <w:spacing w:after="0" w:line="240" w:lineRule="auto"/>
        <w:rPr>
          <w:szCs w:val="28"/>
        </w:rPr>
        <w:sectPr w:rsidR="006773CB" w:rsidRPr="006773CB">
          <w:pgSz w:w="11906" w:h="16838"/>
          <w:pgMar w:top="851" w:right="851" w:bottom="709" w:left="1701" w:header="709" w:footer="709" w:gutter="0"/>
          <w:cols w:space="720"/>
        </w:sectPr>
      </w:pPr>
    </w:p>
    <w:p w:rsidR="006773CB" w:rsidRDefault="006773CB" w:rsidP="006773CB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>
        <w:rPr>
          <w:rFonts w:ascii="Times New Roman" w:hAnsi="Times New Roman"/>
          <w:b w:val="0"/>
          <w:bCs w:val="0"/>
          <w:kern w:val="0"/>
          <w:sz w:val="16"/>
          <w:szCs w:val="16"/>
        </w:rPr>
        <w:lastRenderedPageBreak/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70"/>
        <w:gridCol w:w="3071"/>
        <w:gridCol w:w="962"/>
        <w:gridCol w:w="4536"/>
      </w:tblGrid>
      <w:tr w:rsidR="006773CB" w:rsidTr="006773CB">
        <w:tc>
          <w:tcPr>
            <w:tcW w:w="3070" w:type="dxa"/>
          </w:tcPr>
          <w:p w:rsidR="006773CB" w:rsidRDefault="006773C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3070" w:type="dxa"/>
          </w:tcPr>
          <w:p w:rsidR="006773CB" w:rsidRDefault="006773C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3071" w:type="dxa"/>
          </w:tcPr>
          <w:p w:rsidR="006773CB" w:rsidRDefault="006773C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962" w:type="dxa"/>
          </w:tcPr>
          <w:p w:rsidR="006773CB" w:rsidRDefault="006773C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  <w:tc>
          <w:tcPr>
            <w:tcW w:w="4536" w:type="dxa"/>
            <w:hideMark/>
          </w:tcPr>
          <w:p w:rsidR="006773CB" w:rsidRDefault="006773CB">
            <w:pPr>
              <w:pStyle w:val="1"/>
              <w:spacing w:before="0" w:after="0"/>
              <w:jc w:val="righ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Приложение №2</w:t>
            </w:r>
          </w:p>
          <w:p w:rsidR="006773CB" w:rsidRDefault="006773CB">
            <w:pPr>
              <w:spacing w:after="0"/>
              <w:ind w:left="1167" w:hanging="1167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к решению территориальной   избирательной          </w:t>
            </w:r>
            <w:r w:rsidR="00796C31">
              <w:rPr>
                <w:sz w:val="20"/>
                <w:szCs w:val="20"/>
                <w:lang w:eastAsia="ru-RU"/>
              </w:rPr>
              <w:t xml:space="preserve">            комиссии Михайловского </w:t>
            </w:r>
            <w:r>
              <w:rPr>
                <w:sz w:val="20"/>
                <w:szCs w:val="20"/>
                <w:lang w:eastAsia="ru-RU"/>
              </w:rPr>
              <w:t xml:space="preserve"> района </w:t>
            </w:r>
          </w:p>
          <w:p w:rsidR="006773CB" w:rsidRDefault="006773CB">
            <w:pPr>
              <w:tabs>
                <w:tab w:val="left" w:pos="2855"/>
              </w:tabs>
              <w:ind w:left="-516"/>
              <w:jc w:val="right"/>
              <w:rPr>
                <w:sz w:val="16"/>
                <w:szCs w:val="16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="00796C31">
              <w:rPr>
                <w:sz w:val="20"/>
                <w:szCs w:val="20"/>
                <w:lang w:eastAsia="ru-RU"/>
              </w:rPr>
              <w:t xml:space="preserve">                   от 02.03.2015г.  №438/86</w:t>
            </w:r>
          </w:p>
        </w:tc>
      </w:tr>
    </w:tbl>
    <w:p w:rsidR="00796C31" w:rsidRDefault="006773CB" w:rsidP="006773CB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6"/>
          <w:szCs w:val="26"/>
        </w:rPr>
      </w:pPr>
      <w:r>
        <w:rPr>
          <w:rFonts w:ascii="Times New Roman" w:hAnsi="Times New Roman"/>
          <w:bCs w:val="0"/>
          <w:kern w:val="0"/>
          <w:sz w:val="26"/>
          <w:szCs w:val="26"/>
        </w:rPr>
        <w:t xml:space="preserve">ВЫБОРЫ ГЛАВЫ </w:t>
      </w:r>
      <w:r w:rsidR="00796C31">
        <w:rPr>
          <w:rFonts w:ascii="Times New Roman" w:hAnsi="Times New Roman"/>
          <w:bCs w:val="0"/>
          <w:kern w:val="0"/>
          <w:sz w:val="26"/>
          <w:szCs w:val="26"/>
        </w:rPr>
        <w:t>НОВОШАХТИНСКОГО ГОРОДСКОГО ПОСЕЛЕНИЯ МИХАЙЛОВСКОГО МУНИЦИПАЛЬНОГО РАЙОНА ПРИМОРСКОГО КРАЯ</w:t>
      </w:r>
    </w:p>
    <w:p w:rsidR="006773CB" w:rsidRDefault="006773CB" w:rsidP="006773CB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6"/>
          <w:szCs w:val="26"/>
        </w:rPr>
      </w:pPr>
      <w:r>
        <w:rPr>
          <w:rFonts w:ascii="Times New Roman" w:hAnsi="Times New Roman"/>
          <w:bCs w:val="0"/>
          <w:kern w:val="0"/>
          <w:sz w:val="26"/>
          <w:szCs w:val="26"/>
        </w:rPr>
        <w:t xml:space="preserve"> 1</w:t>
      </w:r>
      <w:r w:rsidR="00796C31">
        <w:rPr>
          <w:rFonts w:ascii="Times New Roman" w:hAnsi="Times New Roman"/>
          <w:bCs w:val="0"/>
          <w:kern w:val="0"/>
          <w:sz w:val="26"/>
          <w:szCs w:val="26"/>
        </w:rPr>
        <w:t>7 МАЯ</w:t>
      </w:r>
      <w:r>
        <w:rPr>
          <w:rFonts w:ascii="Times New Roman" w:hAnsi="Times New Roman"/>
          <w:bCs w:val="0"/>
          <w:kern w:val="0"/>
          <w:sz w:val="26"/>
          <w:szCs w:val="26"/>
        </w:rPr>
        <w:t xml:space="preserve">  2015 ГОДА</w:t>
      </w:r>
    </w:p>
    <w:p w:rsidR="006773CB" w:rsidRDefault="006773CB" w:rsidP="006773CB">
      <w:pPr>
        <w:rPr>
          <w:lang w:eastAsia="ru-RU"/>
        </w:rPr>
      </w:pPr>
    </w:p>
    <w:p w:rsidR="00796C31" w:rsidRDefault="00796C31" w:rsidP="006773CB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6"/>
          <w:szCs w:val="26"/>
        </w:rPr>
      </w:pPr>
      <w:r>
        <w:rPr>
          <w:rFonts w:ascii="Times New Roman" w:hAnsi="Times New Roman"/>
          <w:bCs w:val="0"/>
          <w:kern w:val="0"/>
          <w:sz w:val="26"/>
          <w:szCs w:val="26"/>
        </w:rPr>
        <w:t>Сведения</w:t>
      </w:r>
    </w:p>
    <w:p w:rsidR="006773CB" w:rsidRDefault="00796C31" w:rsidP="006773CB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6"/>
          <w:szCs w:val="26"/>
        </w:rPr>
      </w:pPr>
      <w:r>
        <w:rPr>
          <w:rFonts w:ascii="Times New Roman" w:hAnsi="Times New Roman"/>
          <w:bCs w:val="0"/>
          <w:kern w:val="0"/>
          <w:sz w:val="26"/>
          <w:szCs w:val="26"/>
        </w:rPr>
        <w:t xml:space="preserve"> о доходах за 2014</w:t>
      </w:r>
      <w:r w:rsidR="006773CB">
        <w:rPr>
          <w:rFonts w:ascii="Times New Roman" w:hAnsi="Times New Roman"/>
          <w:bCs w:val="0"/>
          <w:kern w:val="0"/>
          <w:sz w:val="26"/>
          <w:szCs w:val="26"/>
        </w:rPr>
        <w:t xml:space="preserve"> год и об имуществе зарегистрированных кандидатов на должность главы </w:t>
      </w:r>
    </w:p>
    <w:p w:rsidR="006773CB" w:rsidRDefault="00796C31" w:rsidP="006773CB">
      <w:pPr>
        <w:pStyle w:val="1"/>
        <w:spacing w:before="0" w:after="0"/>
        <w:jc w:val="center"/>
        <w:rPr>
          <w:rFonts w:ascii="Times New Roman" w:hAnsi="Times New Roman"/>
          <w:bCs w:val="0"/>
          <w:kern w:val="0"/>
          <w:sz w:val="26"/>
          <w:szCs w:val="26"/>
        </w:rPr>
      </w:pPr>
      <w:proofErr w:type="spellStart"/>
      <w:r>
        <w:rPr>
          <w:rFonts w:ascii="Times New Roman" w:hAnsi="Times New Roman"/>
          <w:bCs w:val="0"/>
          <w:kern w:val="0"/>
          <w:sz w:val="26"/>
          <w:szCs w:val="26"/>
        </w:rPr>
        <w:t>Новошахтинского</w:t>
      </w:r>
      <w:proofErr w:type="spellEnd"/>
      <w:r>
        <w:rPr>
          <w:rFonts w:ascii="Times New Roman" w:hAnsi="Times New Roman"/>
          <w:bCs w:val="0"/>
          <w:kern w:val="0"/>
          <w:sz w:val="26"/>
          <w:szCs w:val="26"/>
        </w:rPr>
        <w:t xml:space="preserve"> городского поселения Михайловского муниципального района Приморского края </w:t>
      </w:r>
    </w:p>
    <w:p w:rsidR="006773CB" w:rsidRDefault="006773CB" w:rsidP="006773CB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6"/>
          <w:szCs w:val="26"/>
        </w:rPr>
      </w:pPr>
      <w:r>
        <w:rPr>
          <w:rFonts w:ascii="Times New Roman" w:hAnsi="Times New Roman"/>
          <w:b w:val="0"/>
          <w:bCs w:val="0"/>
          <w:kern w:val="0"/>
          <w:sz w:val="26"/>
          <w:szCs w:val="26"/>
        </w:rPr>
        <w:t>(на основании данных, представленных кандидатами)</w:t>
      </w:r>
    </w:p>
    <w:tbl>
      <w:tblPr>
        <w:tblW w:w="14760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600"/>
        <w:gridCol w:w="1080"/>
        <w:gridCol w:w="972"/>
        <w:gridCol w:w="1188"/>
        <w:gridCol w:w="1080"/>
        <w:gridCol w:w="1080"/>
        <w:gridCol w:w="1208"/>
        <w:gridCol w:w="992"/>
        <w:gridCol w:w="1276"/>
        <w:gridCol w:w="850"/>
        <w:gridCol w:w="1276"/>
        <w:gridCol w:w="1418"/>
        <w:gridCol w:w="1740"/>
      </w:tblGrid>
      <w:tr w:rsidR="006773CB" w:rsidTr="006773CB">
        <w:trPr>
          <w:cantSplit/>
          <w:trHeight w:val="2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73CB" w:rsidRDefault="006773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3CB" w:rsidRDefault="006773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Фамилия, имя, отчество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3CB" w:rsidRDefault="006773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12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73CB" w:rsidRDefault="006773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Имущество</w:t>
            </w:r>
          </w:p>
        </w:tc>
      </w:tr>
      <w:tr w:rsidR="006773CB" w:rsidTr="006773CB">
        <w:trPr>
          <w:cantSplit/>
          <w:trHeight w:val="884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3CB" w:rsidRDefault="006773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3CB" w:rsidRDefault="006773C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3CB" w:rsidRDefault="006773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Источник выплаты дохода, сумма (руб.)</w:t>
            </w:r>
          </w:p>
        </w:tc>
        <w:tc>
          <w:tcPr>
            <w:tcW w:w="68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773CB" w:rsidRDefault="006773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Недвижимое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3CB" w:rsidRDefault="006773C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Транс-</w:t>
            </w:r>
          </w:p>
          <w:p w:rsidR="006773CB" w:rsidRDefault="006773C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портные</w:t>
            </w:r>
          </w:p>
          <w:p w:rsidR="006773CB" w:rsidRDefault="006773CB">
            <w:pPr>
              <w:pStyle w:val="1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 xml:space="preserve">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73CB" w:rsidRDefault="006773C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Денежные средства, находящиеся на счетах в банках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73CB" w:rsidRDefault="006773C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Акции и иное участие в коммерческих организациях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73CB" w:rsidRDefault="006773C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ценные</w:t>
            </w:r>
          </w:p>
          <w:p w:rsidR="006773CB" w:rsidRDefault="006773C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бумаги</w:t>
            </w:r>
          </w:p>
        </w:tc>
      </w:tr>
      <w:tr w:rsidR="006773CB" w:rsidTr="006773CB">
        <w:trPr>
          <w:cantSplit/>
          <w:trHeight w:val="442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73CB" w:rsidRDefault="006773C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</w:t>
            </w:r>
            <w:proofErr w:type="gramStart"/>
            <w:r>
              <w:rPr>
                <w:color w:val="000000"/>
                <w:sz w:val="16"/>
                <w:szCs w:val="16"/>
              </w:rPr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3CB" w:rsidRDefault="006773C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3CB" w:rsidRDefault="006773C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3CB" w:rsidRDefault="006773C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Земельные участки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3CB" w:rsidRDefault="006773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Жилые дома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3CB" w:rsidRDefault="006773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Квартиры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3CB" w:rsidRDefault="006773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3CB" w:rsidRDefault="006773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Гаражи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3CB" w:rsidRDefault="006773C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Иное недвижимое имущество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3CB" w:rsidRDefault="006773C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Вид, марка, модель, год выпуска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73CB" w:rsidRDefault="006773C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 банка, остаток счета (руб.)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73CB" w:rsidRDefault="006773CB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</w:rPr>
              <w:t>Наименование и организационно-правовая форма организации, доля участия</w:t>
            </w:r>
            <w:proofErr w:type="gramStart"/>
            <w:r>
              <w:rPr>
                <w:rFonts w:ascii="Times New Roman" w:hAnsi="Times New Roman"/>
                <w:b w:val="0"/>
                <w:bCs w:val="0"/>
                <w:kern w:val="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73CB" w:rsidRDefault="006773CB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 ценной бумаги, лицо, выпустившее ценную бумагу, общая стоимость (руб.)</w:t>
            </w:r>
          </w:p>
        </w:tc>
      </w:tr>
      <w:tr w:rsidR="006773CB" w:rsidTr="006773CB">
        <w:trPr>
          <w:cantSplit/>
          <w:trHeight w:val="113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CB" w:rsidRDefault="006773C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3CB" w:rsidRDefault="006773C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3CB" w:rsidRDefault="006773C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6773CB" w:rsidRDefault="006773CB">
            <w:pPr>
              <w:spacing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Место нахождения, общая площадь (кв. м.)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6773CB" w:rsidRDefault="006773CB">
            <w:pPr>
              <w:spacing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Место нахождения, общая площад</w:t>
            </w:r>
            <w:proofErr w:type="gramStart"/>
            <w:r>
              <w:rPr>
                <w:color w:val="000000"/>
                <w:sz w:val="16"/>
                <w:szCs w:val="16"/>
              </w:rPr>
              <w:t>ь(</w:t>
            </w:r>
            <w:proofErr w:type="gramEnd"/>
            <w:r>
              <w:rPr>
                <w:color w:val="000000"/>
                <w:sz w:val="16"/>
                <w:szCs w:val="16"/>
              </w:rPr>
              <w:t>кв. м.)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6773CB" w:rsidRDefault="006773CB">
            <w:pPr>
              <w:spacing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нахождения, общая площад</w:t>
            </w:r>
            <w:proofErr w:type="gramStart"/>
            <w:r>
              <w:rPr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(</w:t>
            </w:r>
            <w:proofErr w:type="gramEnd"/>
            <w:r>
              <w:rPr>
                <w:b/>
                <w:bCs/>
                <w:sz w:val="16"/>
                <w:szCs w:val="16"/>
              </w:rPr>
              <w:t>кв. м.)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6773CB" w:rsidRDefault="006773CB">
            <w:pPr>
              <w:spacing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Место нахождения, общая площадь (кв. м.)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6773CB" w:rsidRDefault="006773CB">
            <w:pPr>
              <w:spacing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Место нахождения, общая площад</w:t>
            </w:r>
            <w:proofErr w:type="gramStart"/>
            <w:r>
              <w:rPr>
                <w:color w:val="000000"/>
                <w:sz w:val="16"/>
                <w:szCs w:val="16"/>
              </w:rPr>
              <w:t>ь(</w:t>
            </w:r>
            <w:proofErr w:type="gramEnd"/>
            <w:r>
              <w:rPr>
                <w:color w:val="000000"/>
                <w:sz w:val="16"/>
                <w:szCs w:val="16"/>
              </w:rPr>
              <w:t>кв. м.)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  <w:hideMark/>
          </w:tcPr>
          <w:p w:rsidR="006773CB" w:rsidRDefault="006773CB">
            <w:pPr>
              <w:spacing w:line="240" w:lineRule="auto"/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Место нахождения, наименование, общая площад</w:t>
            </w:r>
            <w:proofErr w:type="gramStart"/>
            <w:r>
              <w:rPr>
                <w:color w:val="000000"/>
                <w:sz w:val="16"/>
                <w:szCs w:val="16"/>
              </w:rPr>
              <w:t>ь(</w:t>
            </w:r>
            <w:proofErr w:type="gramEnd"/>
            <w:r>
              <w:rPr>
                <w:color w:val="000000"/>
                <w:sz w:val="16"/>
                <w:szCs w:val="16"/>
              </w:rPr>
              <w:t>кв. м.)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3CB" w:rsidRDefault="006773C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3CB" w:rsidRDefault="006773C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3CB" w:rsidRDefault="006773C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73CB" w:rsidRDefault="006773C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6773CB" w:rsidTr="006773CB">
        <w:trPr>
          <w:trHeight w:val="35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73CB" w:rsidRDefault="006773C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3CB" w:rsidRDefault="006773C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3CB" w:rsidRDefault="006773C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3CB" w:rsidRDefault="006773C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3CB" w:rsidRDefault="006773C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3CB" w:rsidRDefault="006773C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3CB" w:rsidRDefault="006773C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3CB" w:rsidRDefault="006773C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3CB" w:rsidRDefault="006773C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3CB" w:rsidRDefault="006773C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3CB" w:rsidRDefault="006773C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3CB" w:rsidRDefault="006773C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73CB" w:rsidRDefault="006773C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</w:t>
            </w:r>
          </w:p>
        </w:tc>
      </w:tr>
      <w:tr w:rsidR="006773CB" w:rsidTr="006773CB">
        <w:trPr>
          <w:trHeight w:val="34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3CB" w:rsidRDefault="006773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3CB" w:rsidRDefault="006773C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3CB" w:rsidRDefault="006773C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3CB" w:rsidRDefault="006773C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3CB" w:rsidRDefault="006773C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3CB" w:rsidRDefault="006773C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3CB" w:rsidRDefault="006773C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3CB" w:rsidRDefault="006773C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3CB" w:rsidRDefault="006773CB">
            <w:pPr>
              <w:autoSpaceDE w:val="0"/>
              <w:autoSpaceDN w:val="0"/>
              <w:adjustRightInd w:val="0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3CB" w:rsidRDefault="006773CB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3CB" w:rsidRDefault="006773CB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</w:p>
          <w:p w:rsidR="006773CB" w:rsidRDefault="006773CB">
            <w:pPr>
              <w:autoSpaceDE w:val="0"/>
              <w:autoSpaceDN w:val="0"/>
              <w:adjustRightInd w:val="0"/>
              <w:ind w:right="-108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3CB" w:rsidRDefault="006773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73CB" w:rsidRDefault="006773C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773CB" w:rsidRDefault="006773CB" w:rsidP="006773CB">
      <w:pPr>
        <w:rPr>
          <w:sz w:val="16"/>
          <w:szCs w:val="16"/>
        </w:rPr>
      </w:pPr>
    </w:p>
    <w:p w:rsidR="006773CB" w:rsidRDefault="006773CB" w:rsidP="006773CB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1.Если в предоставленных сведениях нет данных по реквизиту, то в отчете в соответствующей позиции выводится «н/д», если у кандидата не было никакого дохода в течение соответствующего периода, кандидат не имеет недвижимого имущества, транспортных средств, принадлежащих ему на праве собственности, счетов в банках, акций, иного участия в коммерческих организациях и (или) ценных бумаг, в соответствующих графах выводится значение</w:t>
      </w:r>
      <w:r>
        <w:rPr>
          <w:sz w:val="26"/>
          <w:szCs w:val="26"/>
        </w:rPr>
        <w:t xml:space="preserve"> </w:t>
      </w:r>
      <w:r>
        <w:rPr>
          <w:sz w:val="16"/>
          <w:szCs w:val="16"/>
        </w:rPr>
        <w:t>«нет»</w:t>
      </w:r>
      <w:bookmarkEnd w:id="0"/>
      <w:proofErr w:type="gramEnd"/>
    </w:p>
    <w:sectPr w:rsidR="006773CB" w:rsidSect="00796C31">
      <w:pgSz w:w="16838" w:h="11906" w:orient="landscape"/>
      <w:pgMar w:top="567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3F78"/>
    <w:multiLevelType w:val="hybridMultilevel"/>
    <w:tmpl w:val="FECA4DCE"/>
    <w:lvl w:ilvl="0" w:tplc="D12AF7EE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CB"/>
    <w:rsid w:val="006773CB"/>
    <w:rsid w:val="006A3008"/>
    <w:rsid w:val="00796C31"/>
    <w:rsid w:val="00CF476E"/>
    <w:rsid w:val="00E44850"/>
    <w:rsid w:val="00FB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CB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773C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3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6773CB"/>
    <w:pPr>
      <w:spacing w:after="0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6773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1">
    <w:name w:val="Т-1"/>
    <w:aliases w:val="5"/>
    <w:basedOn w:val="a"/>
    <w:rsid w:val="006773CB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14-15">
    <w:name w:val="14-15"/>
    <w:basedOn w:val="a5"/>
    <w:rsid w:val="006773CB"/>
  </w:style>
  <w:style w:type="paragraph" w:styleId="a5">
    <w:name w:val="Body Text Indent"/>
    <w:basedOn w:val="a"/>
    <w:link w:val="a6"/>
    <w:uiPriority w:val="99"/>
    <w:semiHidden/>
    <w:unhideWhenUsed/>
    <w:rsid w:val="006773C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773CB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7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3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CB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773C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3C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6773CB"/>
    <w:pPr>
      <w:spacing w:after="0" w:line="240" w:lineRule="auto"/>
      <w:jc w:val="center"/>
    </w:pPr>
    <w:rPr>
      <w:rFonts w:eastAsia="Times New Roman"/>
      <w:b/>
      <w:bCs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6773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1">
    <w:name w:val="Т-1"/>
    <w:aliases w:val="5"/>
    <w:basedOn w:val="a"/>
    <w:rsid w:val="006773CB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14-15">
    <w:name w:val="14-15"/>
    <w:basedOn w:val="a5"/>
    <w:rsid w:val="006773CB"/>
  </w:style>
  <w:style w:type="paragraph" w:styleId="a5">
    <w:name w:val="Body Text Indent"/>
    <w:basedOn w:val="a"/>
    <w:link w:val="a6"/>
    <w:uiPriority w:val="99"/>
    <w:semiHidden/>
    <w:unhideWhenUsed/>
    <w:rsid w:val="006773C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773CB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7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3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2015-03-05T04:04:00Z</cp:lastPrinted>
  <dcterms:created xsi:type="dcterms:W3CDTF">2015-03-05T03:33:00Z</dcterms:created>
  <dcterms:modified xsi:type="dcterms:W3CDTF">2015-03-19T04:35:00Z</dcterms:modified>
</cp:coreProperties>
</file>